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820"/>
        <w:jc w:val="center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УТВЕРЖДЕНА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left="4820"/>
        <w:jc w:val="center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left="4820"/>
        <w:jc w:val="center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приказом министерства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left="4820"/>
        <w:jc w:val="center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образования Ставропольского края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left="4820"/>
        <w:jc w:val="center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1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февраля 202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159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-пр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center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center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Инструкция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center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для технического специалиста, привлекаемого к проведению государственной итоговой аттестации   по образовательным программам среднего общего образования в форме государственного выпускного экзамена в пункте проведения экзамена в Ставропольском крае в 202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году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Техническим специалистом в соответствии с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Порядком проведения государственной итоговой аттестац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ии по образовательным программам среднего общего образования, утвержденным приказом Министерства просвещения Российской Федерации и Федеральной службы по надзору в сфере образования и науки от 04 апреля 2023 года № 233/552 (далее – Порядок проведения ГИА) </w:t>
      </w:r>
      <w:r>
        <w:rPr>
          <w:rFonts w:ascii="Times New Roman" w:hAnsi="Times New Roman" w:cs="Times New Roman"/>
          <w:sz w:val="28"/>
          <w:szCs w:val="28"/>
        </w:rPr>
        <w:t xml:space="preserve">назначается лицо, прошедшее соответствующую подготовку. Технический специалист не должен являться:</w:t>
      </w:r>
      <w:r>
        <w:t xml:space="preserve"> 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близким родственником, а также супругом, усыновленным, усыновителем участников государственного выпускного экзамена (далее – ГВЭ), сдающих экзамен в данном пункте проведения экзамена (далее – ППЭ);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педагогическим работником, являющимся учителем участников ГВЭ, сдающих экзамен в данном ППЭ.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Технический специалист проходит инструктаж по порядку и процедуре проведения государственной итоговой аттестации по образовательным программам среднего общего образования (далее – ГИА), в том числе знакомится с: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актами, регламентирующими порядок проведения ГИА, методическими документами Федеральной службы по надзору в сфере образования и науки (далее – Рособрнадзор), рекомендуемыми к использованию при организации и проведении ГИА;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настоящей инструкцией;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правилами оформления ведомостей, протоколов и актов, заполняемых при проведении ГВЭ в аудиториях, ППЭ, с руководствами пользователя программного обеспечения (при наличии).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Технический специалист информируется ответственным за проведение ГИА в общеобразовательной организации, работником которой он является, под подпись о ср</w:t>
      </w:r>
      <w:r>
        <w:rPr>
          <w:rFonts w:ascii="Times New Roman" w:hAnsi="Times New Roman" w:cs="Times New Roman"/>
          <w:sz w:val="28"/>
          <w:szCs w:val="28"/>
        </w:rPr>
        <w:t xml:space="preserve">оках, местах и порядке проведения ГИА, в том числе о ведении в ППЭ и аудиториях видеозаписи, об основаниях для удаления из ППЭ, о применении мер дисциплинарного и административного воздействия в отношении работников ППЭ, нарушивших Порядок проведения ГИА.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 день проведения экзамена техническому специалисту в ППЭ запрещается: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оказывать содействие участникам ГВЭ,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выносить из аудиторий и ППЭ черновики, экзаменационные материалы (далее – ЭМ) на бумажном и (или) электронном носителях;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фотографировать ЭМ, черновики;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покидать ППЭ в день проведения экзамена (до окончания процедур, предусмотренных Порядком проведения ГИА);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пользоваться средствами связи, электронно-вычислительной техникой, фото-, аудио- и 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идеоаппаратурой, справочными материалами, письменными заметками и иными средствами хранения и передачи информации вне штаба ППЭ (пользование указанными предметами и техническими устройствами допускается только в штабе ППЭ в случае служебной необходимости).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Техническому специалисту необходимо помнить, что экзамен проводится в спокойной и доброжелательной обстановке.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Подготовка к проведению ГВЭ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позднее чем за один календарный день до проведения экзамена в ППЭ технический специалист должен провести организационно-технологические мероприятия по подготовке ППЭ: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проверить работоспособность технических средств, планируемых к использованию во время проведения экзамена;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проверить соответствие технических характеристик компьютеров (ноутбуков) в аудиториях и штабе ППЭ, а также резервных компьютеров (ноутбуков) предъявляемым минимальным требованиям.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</w:pPr>
      <w:r/>
      <w:r/>
    </w:p>
    <w:p>
      <w:pPr>
        <w:contextualSpacing/>
        <w:ind w:firstLine="709"/>
        <w:jc w:val="center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Организация работы в день проведения ГВЭ</w:t>
      </w:r>
      <w:r/>
    </w:p>
    <w:p>
      <w:pPr>
        <w:contextualSpacing/>
        <w:ind w:firstLine="709"/>
        <w:jc w:val="both"/>
        <w:spacing w:after="0" w:line="240" w:lineRule="auto"/>
      </w:pPr>
      <w:r/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день проведения ГВЭ технический специалист должен: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прибыть в ППЭ не поздн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ее 07.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30</w:t>
      </w:r>
      <w:bookmarkStart w:id="0" w:name="_GoBack"/>
      <w:r>
        <w:rPr>
          <w:color w:val="000000" w:themeColor="text1"/>
          <w:highlight w:val="white"/>
        </w:rPr>
      </w:r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по мест</w:t>
      </w:r>
      <w:r>
        <w:rPr>
          <w:rFonts w:ascii="Times New Roman" w:hAnsi="Times New Roman" w:cs="Times New Roman"/>
          <w:sz w:val="28"/>
          <w:szCs w:val="28"/>
        </w:rPr>
        <w:t xml:space="preserve">ному времени;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оставить все свои личные вещи в месте для хранения личных вещей, организованном в штабе ППЭ;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распоряжению руководителя ППЭ включить режим видеозаписи (в штабе ППЭ – не позднее 7.30 по местному времени, но до получения ЭМ от члена ГЭК, в аудиториях ППЭ – не позднее 08.00 по местному времени);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проверить работоспособность технических средств, планируемых к использованию во время проведения экзамена;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печати ЭМ в штабе ППЭ (при передаче ЭМ в ППЭ в электронном виде посредством сети «Интернет» организовать печать ЭМ на бумажные носители в присутствии руководителя ППЭ, члена ГЭК, общественных наблюдателей (при наличии);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проведения ГВЭ в устной форме: технический специалист или организатор (по решению руководителя ППЭ) настраивают средства цифровой аудиозаписи для осуществления качественной</w:t>
      </w:r>
      <w:r>
        <w:rPr>
          <w:rFonts w:ascii="Times New Roman" w:hAnsi="Times New Roman" w:cs="Times New Roman"/>
          <w:sz w:val="28"/>
          <w:szCs w:val="28"/>
        </w:rPr>
        <w:t xml:space="preserve"> записи устных ответов, технический специалист или организатор предоставляет участнику ГВЭ возможность прослушать запись его устных ответов, чтобы убедиться, что она произведена без технических сбоев;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технических сбоев: при возникновении любых технических неполадок в ходе проведения ГВЭ технический специалист </w:t>
      </w:r>
      <w:r>
        <w:rPr>
          <w:rFonts w:ascii="Times New Roman" w:hAnsi="Times New Roman" w:cs="Times New Roman"/>
          <w:sz w:val="28"/>
          <w:szCs w:val="28"/>
        </w:rPr>
        <w:t xml:space="preserve">должен выявить и устранить причину неполадок. В случае если во время записи устных ответов произошел технический сбой, участнику ГВЭ по его выбору предоставляется право выполнить задания, предусматривающие устные ответы, в тот же день или выполнить задания</w:t>
      </w:r>
      <w:r>
        <w:rPr>
          <w:rFonts w:ascii="Times New Roman" w:hAnsi="Times New Roman" w:cs="Times New Roman"/>
          <w:sz w:val="28"/>
          <w:szCs w:val="28"/>
        </w:rPr>
        <w:t xml:space="preserve">, предусматривающие устные ответы, в резервные сроки. В случае если технический специалист не может исправить технические неполадки, возникшие в ходе проведения ГВЭ, за короткий промежуток времени, он должен сообщить об этом руководителю ППЭ или члену ГЭК.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Завершение проведения ГВЭ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Файлы, содержащие ответы участников ГВЭ на задания КИМ (при наличии) (при проведении ГВЭ в устной форме), </w:t>
      </w:r>
      <w:r>
        <w:rPr>
          <w:rFonts w:ascii="Times New Roman" w:hAnsi="Times New Roman" w:cs="Times New Roman"/>
          <w:sz w:val="28"/>
          <w:szCs w:val="28"/>
        </w:rPr>
        <w:t xml:space="preserve">поаудиторно</w:t>
      </w:r>
      <w:r>
        <w:rPr>
          <w:rFonts w:ascii="Times New Roman" w:hAnsi="Times New Roman" w:cs="Times New Roman"/>
          <w:sz w:val="28"/>
          <w:szCs w:val="28"/>
        </w:rPr>
        <w:t xml:space="preserve"> записываются на электронный (внешний) носитель техническим специалистом с присвоением в качестве имени уникального идентификатора (кода работы). Затем электронный (внешний) носитель </w:t>
      </w:r>
      <w:r>
        <w:rPr>
          <w:rFonts w:ascii="Times New Roman" w:hAnsi="Times New Roman" w:cs="Times New Roman"/>
          <w:sz w:val="28"/>
          <w:szCs w:val="28"/>
        </w:rPr>
        <w:t xml:space="preserve">запечатывается в отдельный конверт. На конверте указывается наименование, адрес и номер ППЭ, номера аудиторий, наименование и код учебного предмета, по которому проводился ГВЭ, форма ГВЭ (устная), количество аудиозаписей на электронном (внешнем) носителе.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Затем запечатанный конверт передается в штаб ППЭ руководителю ППЭ за специально отведенным столом, находящимся в зоне видимости камер видеонаблюдения.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Покинуть ППЭ с разрешения руководителя ППЭ.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8"/>
      <w:footnotePr/>
      <w:endnotePr/>
      <w:type w:val="nextPage"/>
      <w:pgSz w:w="11906" w:h="16838" w:orient="portrait"/>
      <w:pgMar w:top="1418" w:right="567" w:bottom="1134" w:left="1985" w:header="709" w:footer="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Noto Sans CJK SC">
    <w:panose1 w:val="020B0502040504020204"/>
  </w:font>
  <w:font w:name="Lohit Devanagari">
    <w:panose1 w:val="020B0600000000000000"/>
  </w:font>
  <w:font w:name="Liberation San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66719253"/>
      <w:docPartObj>
        <w:docPartGallery w:val="Page Numbers (Top of Page)"/>
        <w:docPartUnique w:val="true"/>
      </w:docPartObj>
      <w:rPr/>
    </w:sdtPr>
    <w:sdtContent>
      <w:p>
        <w:pPr>
          <w:pStyle w:val="693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69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77"/>
    <w:next w:val="67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7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7"/>
    <w:next w:val="67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7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7"/>
    <w:next w:val="67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7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7"/>
    <w:next w:val="67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7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7"/>
    <w:next w:val="67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7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7"/>
    <w:next w:val="67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7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7"/>
    <w:next w:val="67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7"/>
    <w:next w:val="67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7"/>
    <w:next w:val="67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78"/>
    <w:link w:val="686"/>
    <w:uiPriority w:val="10"/>
    <w:rPr>
      <w:sz w:val="48"/>
      <w:szCs w:val="48"/>
    </w:rPr>
  </w:style>
  <w:style w:type="paragraph" w:styleId="36">
    <w:name w:val="Subtitle"/>
    <w:basedOn w:val="677"/>
    <w:next w:val="67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78"/>
    <w:link w:val="36"/>
    <w:uiPriority w:val="11"/>
    <w:rPr>
      <w:sz w:val="24"/>
      <w:szCs w:val="24"/>
    </w:rPr>
  </w:style>
  <w:style w:type="paragraph" w:styleId="38">
    <w:name w:val="Quote"/>
    <w:basedOn w:val="677"/>
    <w:next w:val="67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7"/>
    <w:next w:val="67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78"/>
    <w:link w:val="693"/>
    <w:uiPriority w:val="99"/>
  </w:style>
  <w:style w:type="character" w:styleId="45">
    <w:name w:val="Footer Char"/>
    <w:basedOn w:val="678"/>
    <w:link w:val="694"/>
    <w:uiPriority w:val="99"/>
  </w:style>
  <w:style w:type="character" w:styleId="47">
    <w:name w:val="Caption Char"/>
    <w:basedOn w:val="678"/>
    <w:link w:val="689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67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7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7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character" w:styleId="176">
    <w:name w:val="Footnote Text Char"/>
    <w:link w:val="691"/>
    <w:uiPriority w:val="99"/>
    <w:rPr>
      <w:sz w:val="18"/>
    </w:rPr>
  </w:style>
  <w:style w:type="character" w:styleId="177">
    <w:name w:val="footnote reference"/>
    <w:basedOn w:val="678"/>
    <w:uiPriority w:val="99"/>
    <w:unhideWhenUsed/>
    <w:rPr>
      <w:vertAlign w:val="superscript"/>
    </w:rPr>
  </w:style>
  <w:style w:type="paragraph" w:styleId="178">
    <w:name w:val="endnote text"/>
    <w:basedOn w:val="67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8"/>
    <w:uiPriority w:val="99"/>
    <w:semiHidden/>
    <w:unhideWhenUsed/>
    <w:rPr>
      <w:vertAlign w:val="superscript"/>
    </w:rPr>
  </w:style>
  <w:style w:type="paragraph" w:styleId="181">
    <w:name w:val="toc 1"/>
    <w:basedOn w:val="677"/>
    <w:next w:val="67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7"/>
    <w:next w:val="67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7"/>
    <w:next w:val="67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7"/>
    <w:next w:val="67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7"/>
    <w:next w:val="67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7"/>
    <w:next w:val="67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7"/>
    <w:next w:val="67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7"/>
    <w:next w:val="67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7"/>
    <w:next w:val="67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7"/>
    <w:next w:val="677"/>
    <w:uiPriority w:val="99"/>
    <w:unhideWhenUsed/>
    <w:pPr>
      <w:spacing w:after="0" w:afterAutospacing="0"/>
    </w:pPr>
  </w:style>
  <w:style w:type="paragraph" w:styleId="677" w:default="1">
    <w:name w:val="Normal"/>
    <w:qFormat/>
    <w:pPr>
      <w:spacing w:after="160" w:line="259" w:lineRule="auto"/>
    </w:pPr>
  </w:style>
  <w:style w:type="character" w:styleId="678" w:default="1">
    <w:name w:val="Default Paragraph Font"/>
    <w:uiPriority w:val="1"/>
    <w:semiHidden/>
    <w:unhideWhenUsed/>
  </w:style>
  <w:style w:type="table" w:styleId="67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0" w:default="1">
    <w:name w:val="No List"/>
    <w:uiPriority w:val="99"/>
    <w:semiHidden/>
    <w:unhideWhenUsed/>
  </w:style>
  <w:style w:type="character" w:styleId="681" w:customStyle="1">
    <w:name w:val="Текст сноски Знак"/>
    <w:basedOn w:val="678"/>
    <w:link w:val="691"/>
    <w:uiPriority w:val="99"/>
    <w:semiHidden/>
    <w:qFormat/>
    <w:rPr>
      <w:sz w:val="20"/>
      <w:szCs w:val="20"/>
    </w:rPr>
  </w:style>
  <w:style w:type="character" w:styleId="682" w:customStyle="1">
    <w:name w:val="Символ сноски"/>
    <w:basedOn w:val="678"/>
    <w:uiPriority w:val="99"/>
    <w:semiHidden/>
    <w:unhideWhenUsed/>
    <w:qFormat/>
    <w:rPr>
      <w:vertAlign w:val="superscript"/>
    </w:rPr>
  </w:style>
  <w:style w:type="character" w:styleId="683" w:customStyle="1">
    <w:name w:val="Привязка сноски"/>
    <w:rPr>
      <w:vertAlign w:val="superscript"/>
    </w:rPr>
  </w:style>
  <w:style w:type="character" w:styleId="684" w:customStyle="1">
    <w:name w:val="Верхний колонтитул Знак"/>
    <w:basedOn w:val="678"/>
    <w:link w:val="693"/>
    <w:uiPriority w:val="99"/>
    <w:qFormat/>
  </w:style>
  <w:style w:type="character" w:styleId="685" w:customStyle="1">
    <w:name w:val="Нижний колонтитул Знак"/>
    <w:basedOn w:val="678"/>
    <w:link w:val="694"/>
    <w:uiPriority w:val="99"/>
    <w:qFormat/>
  </w:style>
  <w:style w:type="paragraph" w:styleId="686">
    <w:name w:val="Title"/>
    <w:basedOn w:val="677"/>
    <w:next w:val="687"/>
    <w:qFormat/>
    <w:pPr>
      <w:keepNext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687">
    <w:name w:val="Body Text"/>
    <w:basedOn w:val="677"/>
    <w:pPr>
      <w:spacing w:after="140" w:line="276" w:lineRule="auto"/>
    </w:pPr>
  </w:style>
  <w:style w:type="paragraph" w:styleId="688">
    <w:name w:val="List"/>
    <w:basedOn w:val="687"/>
    <w:rPr>
      <w:rFonts w:cs="Lohit Devanagari"/>
    </w:rPr>
  </w:style>
  <w:style w:type="paragraph" w:styleId="689">
    <w:name w:val="Caption"/>
    <w:basedOn w:val="677"/>
    <w:qFormat/>
    <w:pPr>
      <w:spacing w:before="120" w:after="120"/>
      <w:suppressLineNumbers/>
    </w:pPr>
    <w:rPr>
      <w:rFonts w:cs="Lohit Devanagari"/>
      <w:i/>
      <w:iCs/>
      <w:sz w:val="24"/>
      <w:szCs w:val="24"/>
    </w:rPr>
  </w:style>
  <w:style w:type="paragraph" w:styleId="690">
    <w:name w:val="index heading"/>
    <w:basedOn w:val="677"/>
    <w:qFormat/>
    <w:pPr>
      <w:suppressLineNumbers/>
    </w:pPr>
    <w:rPr>
      <w:rFonts w:cs="Lohit Devanagari"/>
    </w:rPr>
  </w:style>
  <w:style w:type="paragraph" w:styleId="691">
    <w:name w:val="footnote text"/>
    <w:basedOn w:val="677"/>
    <w:link w:val="681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692" w:customStyle="1">
    <w:name w:val="Колонтитул"/>
    <w:basedOn w:val="677"/>
    <w:qFormat/>
  </w:style>
  <w:style w:type="paragraph" w:styleId="693">
    <w:name w:val="Header"/>
    <w:basedOn w:val="677"/>
    <w:link w:val="68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694">
    <w:name w:val="Footer"/>
    <w:basedOn w:val="677"/>
    <w:link w:val="68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695">
    <w:name w:val="List Paragraph"/>
    <w:basedOn w:val="677"/>
    <w:uiPriority w:val="34"/>
    <w:qFormat/>
    <w:pPr>
      <w:contextualSpacing/>
      <w:ind w:left="720"/>
    </w:pPr>
  </w:style>
  <w:style w:type="table" w:styleId="696">
    <w:name w:val="Table Grid"/>
    <w:basedOn w:val="679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E1929-2DCB-40A5-B30A-9A7F6497C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RCOI</dc:creator>
  <dc:description/>
  <dc:language>ru-RU</dc:language>
  <cp:lastModifiedBy>khvostikova-as</cp:lastModifiedBy>
  <cp:revision>38</cp:revision>
  <dcterms:created xsi:type="dcterms:W3CDTF">2023-02-17T08:10:00Z</dcterms:created>
  <dcterms:modified xsi:type="dcterms:W3CDTF">2025-03-19T14:33:08Z</dcterms:modified>
</cp:coreProperties>
</file>