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3"/>
        <w:jc w:val="center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  <w:t xml:space="preserve">Информация о количестве вакантных мест для приема </w:t>
      </w:r>
      <w:r/>
    </w:p>
    <w:p>
      <w:pPr>
        <w:pStyle w:val="813"/>
        <w:jc w:val="center"/>
        <w:rPr>
          <w:rFonts w:ascii="Tinos" w:hAnsi="Tinos" w:cs="Tinos" w:eastAsia="Tinos"/>
          <w:sz w:val="28"/>
          <w:highlight w:val="none"/>
        </w:rPr>
      </w:pPr>
      <w:r>
        <w:rPr>
          <w:rFonts w:ascii="Tinos" w:hAnsi="Tinos" w:cs="Tinos" w:eastAsia="Tinos"/>
          <w:sz w:val="28"/>
        </w:rPr>
        <w:t xml:space="preserve">в МБОУ СОШ №  5 им. О.В. Гудкова г. Георгиевска на 2024/25 уч</w:t>
      </w:r>
      <w:r>
        <w:rPr>
          <w:rFonts w:ascii="Tinos" w:hAnsi="Tinos" w:cs="Tinos" w:eastAsia="Tinos"/>
          <w:sz w:val="28"/>
        </w:rPr>
        <w:t xml:space="preserve">ебный год</w:t>
      </w:r>
      <w:r>
        <w:rPr>
          <w:rFonts w:ascii="Tinos" w:hAnsi="Tinos" w:cs="Tinos" w:eastAsia="Tinos"/>
          <w:sz w:val="28"/>
        </w:rPr>
      </w:r>
      <w:r/>
    </w:p>
    <w:p>
      <w:pPr>
        <w:pStyle w:val="813"/>
        <w:jc w:val="center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</w:r>
      <w:r/>
    </w:p>
    <w:tbl>
      <w:tblPr>
        <w:tblStyle w:val="666"/>
        <w:tblW w:w="0" w:type="auto"/>
        <w:tblLayout w:type="fixed"/>
        <w:tblLook w:val="04A0" w:firstRow="1" w:lastRow="0" w:firstColumn="1" w:lastColumn="0" w:noHBand="0" w:noVBand="1"/>
      </w:tblPr>
      <w:tblGrid>
        <w:gridCol w:w="1275"/>
        <w:gridCol w:w="3827"/>
        <w:gridCol w:w="4253"/>
      </w:tblGrid>
      <w:tr>
        <w:trPr/>
        <w:tc>
          <w:tcPr>
            <w:tcW w:w="1275" w:type="dxa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Класс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Количество обучающихся/ принятых заявлений о зачислении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Количество вакантных мест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</w:tr>
      <w:tr>
        <w:trPr/>
        <w:tc>
          <w:tcPr>
            <w:tcW w:w="1275" w:type="dxa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1А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5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20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</w:tr>
      <w:tr>
        <w:trPr/>
        <w:tc>
          <w:tcPr>
            <w:tcW w:w="1275" w:type="dxa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1Б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5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20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</w:tr>
      <w:tr>
        <w:trPr/>
        <w:tc>
          <w:tcPr>
            <w:tcW w:w="1275" w:type="dxa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1В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4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21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</w:tr>
      <w:tr>
        <w:trPr/>
        <w:tc>
          <w:tcPr>
            <w:tcW w:w="1275" w:type="dxa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2А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24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1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</w:tr>
      <w:tr>
        <w:trPr/>
        <w:tc>
          <w:tcPr>
            <w:tcW w:w="1275" w:type="dxa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2Б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18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7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</w:tr>
      <w:tr>
        <w:trPr/>
        <w:tc>
          <w:tcPr>
            <w:tcW w:w="1275" w:type="dxa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2В с ОВЗ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0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9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</w:tr>
      <w:tr>
        <w:trPr/>
        <w:tc>
          <w:tcPr>
            <w:tcW w:w="1275" w:type="dxa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3А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26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</w:tr>
      <w:tr>
        <w:trPr/>
        <w:tc>
          <w:tcPr>
            <w:tcW w:w="1275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3Б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23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2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</w:tr>
      <w:tr>
        <w:trPr/>
        <w:tc>
          <w:tcPr>
            <w:tcW w:w="1275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3В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13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12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</w:tr>
      <w:tr>
        <w:trPr/>
        <w:tc>
          <w:tcPr>
            <w:tcW w:w="1275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4А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24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1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</w:tr>
      <w:tr>
        <w:trPr/>
        <w:tc>
          <w:tcPr>
            <w:tcW w:w="1275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4Б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22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3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</w:tr>
      <w:tr>
        <w:trPr/>
        <w:tc>
          <w:tcPr>
            <w:tcW w:w="1275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4В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22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3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</w:tr>
      <w:tr>
        <w:trPr/>
        <w:tc>
          <w:tcPr>
            <w:tcW w:w="1275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4Г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9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3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</w:tr>
      <w:tr>
        <w:trPr/>
        <w:tc>
          <w:tcPr>
            <w:tcW w:w="1275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4Д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8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4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</w:tr>
      <w:tr>
        <w:trPr/>
        <w:tc>
          <w:tcPr>
            <w:tcW w:w="1275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5А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23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2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</w:tr>
      <w:tr>
        <w:trPr/>
        <w:tc>
          <w:tcPr>
            <w:tcW w:w="1275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5Б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21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4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</w:tr>
      <w:tr>
        <w:trPr/>
        <w:tc>
          <w:tcPr>
            <w:tcW w:w="1275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5В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21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4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</w:tr>
      <w:tr>
        <w:trPr/>
        <w:tc>
          <w:tcPr>
            <w:tcW w:w="1275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5Г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9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3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</w:tr>
      <w:tr>
        <w:trPr/>
        <w:tc>
          <w:tcPr>
            <w:tcW w:w="1275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5Д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8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4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</w:tr>
      <w:tr>
        <w:trPr/>
        <w:tc>
          <w:tcPr>
            <w:tcW w:w="1275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6А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17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8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</w:tr>
      <w:tr>
        <w:trPr/>
        <w:tc>
          <w:tcPr>
            <w:tcW w:w="1275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6Б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26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</w:tr>
      <w:tr>
        <w:trPr/>
        <w:tc>
          <w:tcPr>
            <w:tcW w:w="1275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6В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5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7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</w:tr>
      <w:tr>
        <w:trPr/>
        <w:tc>
          <w:tcPr>
            <w:tcW w:w="1275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6Г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8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5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</w:tr>
      <w:tr>
        <w:trPr/>
        <w:tc>
          <w:tcP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nos" w:hAnsi="Tinos" w:cs="Tinos" w:eastAsia="Tinos"/>
              </w:rPr>
            </w:pPr>
            <w:r>
              <w:rPr>
                <w:rFonts w:ascii="Tinos" w:hAnsi="Tinos" w:cs="Tinos" w:eastAsia="Tinos"/>
              </w:rPr>
              <w:t xml:space="preserve">7А</w:t>
            </w:r>
            <w:r>
              <w:rPr>
                <w:rFonts w:ascii="Tinos" w:hAnsi="Tinos" w:cs="Tinos" w:eastAsia="Tinos"/>
              </w:rPr>
            </w:r>
            <w:r/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22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3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</w:tr>
      <w:tr>
        <w:trPr/>
        <w:tc>
          <w:tcPr>
            <w:tcW w:w="1275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7Б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15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10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</w:tr>
      <w:tr>
        <w:trPr/>
        <w:tc>
          <w:tcPr>
            <w:tcW w:w="1275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7В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10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2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</w:tr>
      <w:tr>
        <w:trPr/>
        <w:tc>
          <w:tcPr>
            <w:tcW w:w="1275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8А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18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7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</w:tr>
      <w:tr>
        <w:trPr/>
        <w:tc>
          <w:tcPr>
            <w:tcW w:w="1275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8Б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19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6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</w:tr>
      <w:tr>
        <w:trPr/>
        <w:tc>
          <w:tcPr>
            <w:tcW w:w="1275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8В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20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5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</w:tr>
      <w:tr>
        <w:trPr/>
        <w:tc>
          <w:tcPr>
            <w:tcW w:w="1275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8Г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4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8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</w:tr>
      <w:tr>
        <w:trPr/>
        <w:tc>
          <w:tcPr>
            <w:tcW w:w="1275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9А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24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1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</w:tr>
      <w:tr>
        <w:trPr/>
        <w:tc>
          <w:tcPr>
            <w:tcW w:w="1275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9Б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21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4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</w:tr>
      <w:tr>
        <w:trPr/>
        <w:tc>
          <w:tcPr>
            <w:tcW w:w="1275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9В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14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9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</w:tr>
      <w:tr>
        <w:trPr/>
        <w:tc>
          <w:tcPr>
            <w:tcW w:w="1275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9Г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6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6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</w:tr>
      <w:tr>
        <w:trPr/>
        <w:tc>
          <w:tcPr>
            <w:tcW w:w="1275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10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25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</w:tr>
      <w:tr>
        <w:trPr/>
        <w:tc>
          <w:tcPr>
            <w:tcW w:w="1275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11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12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pStyle w:val="813"/>
              <w:jc w:val="center"/>
              <w:rPr>
                <w:rFonts w:ascii="Tinos" w:hAnsi="Tinos" w:cs="Tinos" w:eastAsia="Tinos"/>
                <w:sz w:val="24"/>
                <w:highlight w:val="none"/>
              </w:rPr>
            </w:pPr>
            <w:r>
              <w:rPr>
                <w:rFonts w:ascii="Tinos" w:hAnsi="Tinos" w:cs="Tinos" w:eastAsia="Tinos"/>
                <w:sz w:val="24"/>
                <w:highlight w:val="none"/>
              </w:rPr>
              <w:t xml:space="preserve">13</w:t>
            </w:r>
            <w:r>
              <w:rPr>
                <w:rFonts w:ascii="Tinos" w:hAnsi="Tinos" w:cs="Tinos" w:eastAsia="Tinos"/>
                <w:sz w:val="24"/>
                <w:highlight w:val="none"/>
              </w:rPr>
            </w:r>
            <w:r/>
          </w:p>
        </w:tc>
      </w:tr>
    </w:tbl>
    <w:p>
      <w:pPr>
        <w:pStyle w:val="813"/>
        <w:jc w:val="center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</w:r>
    </w:p>
    <w:p>
      <w:pPr>
        <w:pStyle w:val="813"/>
        <w:jc w:val="left"/>
        <w:rPr>
          <w:rFonts w:ascii="Tinos" w:hAnsi="Tinos" w:cs="Tinos" w:eastAsia="Tinos"/>
          <w:sz w:val="28"/>
          <w:highlight w:val="none"/>
        </w:rPr>
      </w:pPr>
      <w:r>
        <w:rPr>
          <w:rFonts w:ascii="Tinos" w:hAnsi="Tinos" w:cs="Tinos" w:eastAsia="Tinos"/>
          <w:sz w:val="28"/>
          <w:highlight w:val="none"/>
        </w:rPr>
        <w:t xml:space="preserve">Директор     МБОУ СОШ № 5</w:t>
      </w:r>
      <w:r/>
    </w:p>
    <w:p>
      <w:pPr>
        <w:pStyle w:val="813"/>
        <w:jc w:val="left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  <w:highlight w:val="none"/>
        </w:rPr>
        <w:t xml:space="preserve">им. О.В. Гудкова г. Георгиевска                                                     Е.С. Яхина                   </w:t>
      </w:r>
      <w:r>
        <w:rPr>
          <w:rFonts w:ascii="Tinos" w:hAnsi="Tinos" w:cs="Tinos" w:eastAsia="Tinos"/>
          <w:sz w:val="28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qFormat/>
    <w:uiPriority w:val="11"/>
    <w:rPr>
      <w:sz w:val="24"/>
      <w:szCs w:val="24"/>
    </w:rPr>
    <w:pPr>
      <w:spacing w:after="200" w:before="200"/>
    </w:p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qFormat/>
    <w:uiPriority w:val="29"/>
    <w:rPr>
      <w:i/>
    </w:rPr>
    <w:pPr>
      <w:ind w:left="720" w:right="720"/>
    </w:p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5">
    <w:name w:val="Grid Table 4 - Accent 1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6">
    <w:name w:val="Grid Table 4 - Accent 2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7">
    <w:name w:val="Grid Table 4 - Accent 3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98">
    <w:name w:val="Grid Table 4 - Accent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99">
    <w:name w:val="Grid Table 4 - Accent 5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0">
    <w:name w:val="Grid Table 4 - Accent 6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1">
    <w:name w:val="Grid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2">
    <w:name w:val="Grid Table 5 Dark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3">
    <w:name w:val="Grid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4">
    <w:name w:val="Grid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5">
    <w:name w:val="Grid Table 5 Dark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08">
    <w:name w:val="Grid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0">
    <w:name w:val="List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1">
    <w:name w:val="List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2">
    <w:name w:val="List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3">
    <w:name w:val="List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4">
    <w:name w:val="List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5">
    <w:name w:val="List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6">
    <w:name w:val="List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58">
    <w:name w:val="List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59">
    <w:name w:val="List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0">
    <w:name w:val="List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1">
    <w:name w:val="List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2">
    <w:name w:val="List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3">
    <w:name w:val="List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4">
    <w:name w:val="List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2">
    <w:name w:val="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3">
    <w:name w:val="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4">
    <w:name w:val="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5">
    <w:name w:val="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6">
    <w:name w:val="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77">
    <w:name w:val="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78">
    <w:name w:val="Bordered &amp; 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9">
    <w:name w:val="Bordered &amp; 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0">
    <w:name w:val="Bordered &amp; 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1">
    <w:name w:val="Bordered &amp; 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2">
    <w:name w:val="Bordered &amp; 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3">
    <w:name w:val="Bordered &amp; 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4">
    <w:name w:val="Bordered &amp; 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5">
    <w:name w:val="Bordered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6">
    <w:name w:val="Bordered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7">
    <w:name w:val="Bordered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88">
    <w:name w:val="Bordered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89">
    <w:name w:val="Bordered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0">
    <w:name w:val="Bordered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1">
    <w:name w:val="Bordered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rPr>
      <w:sz w:val="18"/>
    </w:rPr>
    <w:pPr>
      <w:spacing w:lineRule="auto" w:line="240" w:after="40"/>
    </w:p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rPr>
      <w:sz w:val="20"/>
    </w:rPr>
    <w:pPr>
      <w:spacing w:lineRule="auto" w:line="240" w:after="0"/>
    </w:p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qFormat/>
    <w:uiPriority w:val="1"/>
    <w:pPr>
      <w:spacing w:lineRule="auto" w:line="240" w:after="0"/>
    </w:pPr>
  </w:style>
  <w:style w:type="paragraph" w:styleId="814">
    <w:name w:val="List Paragraph"/>
    <w:basedOn w:val="810"/>
    <w:qFormat/>
    <w:uiPriority w:val="34"/>
    <w:pPr>
      <w:contextualSpacing w:val="true"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2024-05-07T08:29:03Z</dcterms:modified>
</cp:coreProperties>
</file>